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Default="00FD2807" w:rsidP="00FD2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55650"/>
            <wp:effectExtent l="19050" t="0" r="508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ГОРОДСКОЕ  ПОСЕЛЕНИЕ ПЕЧЕНГА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ПЕЧЕНГСКОГО РАЙОНА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МУРМАНСКОЙ ОБЛАСТИ</w:t>
      </w:r>
    </w:p>
    <w:p w:rsidR="00FD2807" w:rsidRDefault="00FD2807" w:rsidP="00FD2807">
      <w:pPr>
        <w:keepNext/>
        <w:spacing w:before="7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FD2807" w:rsidRDefault="00FE341D" w:rsidP="00FD2807">
      <w:pPr>
        <w:spacing w:before="36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от  </w:t>
      </w:r>
      <w:r w:rsidR="009F7FD0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201</w:t>
      </w:r>
      <w:r w:rsidR="001C6E93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 года</w:t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                № </w:t>
      </w: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п. Печенга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D2807" w:rsidTr="00FD2807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07" w:rsidRDefault="00FD2807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F20F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ую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Развитие культурного досуга, молодежной политики и иных мероприятий на территории муниципального образования городское поселение Печенга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Мурманской области на 201</w:t>
            </w:r>
            <w:r w:rsidR="00F20FA7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Мурманской области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 №23 от 25 января 2016 года, руководствуясь Уставом городского поселения Печенга, администрация муниципального образования городское поселение Печенга,</w:t>
      </w:r>
    </w:p>
    <w:p w:rsidR="00F20FA7" w:rsidRPr="0040457D" w:rsidRDefault="00F20FA7" w:rsidP="00F2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57D">
        <w:rPr>
          <w:rFonts w:ascii="Arial" w:eastAsia="Times New Roman" w:hAnsi="Arial" w:cs="Arial"/>
          <w:b/>
          <w:sz w:val="24"/>
          <w:szCs w:val="24"/>
        </w:rPr>
        <w:t xml:space="preserve"> ПОСТАНОВЛЯ</w:t>
      </w:r>
      <w:r>
        <w:rPr>
          <w:rFonts w:ascii="Arial" w:eastAsia="Times New Roman" w:hAnsi="Arial" w:cs="Arial"/>
          <w:b/>
          <w:sz w:val="24"/>
          <w:szCs w:val="24"/>
        </w:rPr>
        <w:t>ЕТ</w:t>
      </w:r>
      <w:r w:rsidRPr="0040457D">
        <w:rPr>
          <w:rFonts w:ascii="Arial" w:eastAsia="Times New Roman" w:hAnsi="Arial" w:cs="Arial"/>
          <w:b/>
          <w:sz w:val="24"/>
          <w:szCs w:val="24"/>
        </w:rPr>
        <w:t>: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Внести изменения в муниципальную программу «Развитие культурного досуга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молодежной политики и иных мероприятий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Мурманской области на 201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год», утвержденную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Мурманской области №</w:t>
      </w:r>
      <w:r w:rsidR="00AD619C">
        <w:rPr>
          <w:rFonts w:ascii="Arial" w:eastAsia="Times New Roman" w:hAnsi="Arial" w:cs="Arial"/>
          <w:color w:val="000000"/>
          <w:sz w:val="24"/>
          <w:szCs w:val="24"/>
        </w:rPr>
        <w:t>37</w:t>
      </w:r>
      <w:r w:rsidR="00AD619C">
        <w:rPr>
          <w:rFonts w:ascii="Arial" w:hAnsi="Arial" w:cs="Arial"/>
          <w:color w:val="000000"/>
          <w:sz w:val="24"/>
          <w:szCs w:val="24"/>
        </w:rPr>
        <w:t xml:space="preserve"> от 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619C">
        <w:rPr>
          <w:rFonts w:ascii="Arial" w:eastAsia="Times New Roman" w:hAnsi="Arial" w:cs="Arial"/>
          <w:color w:val="000000"/>
          <w:sz w:val="24"/>
          <w:szCs w:val="24"/>
        </w:rPr>
        <w:t>февраля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AD619C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и изложить в новой редакции,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к настоящему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Постановлению.</w:t>
      </w:r>
      <w:proofErr w:type="gramEnd"/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2. Настоящее Постановление вступает в силу со дня его опубликования (обнародования)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</w:t>
      </w:r>
      <w:r w:rsidR="009F42BE">
        <w:rPr>
          <w:rFonts w:ascii="Arial" w:eastAsia="Times New Roman" w:hAnsi="Arial" w:cs="Arial"/>
          <w:sz w:val="24"/>
          <w:szCs w:val="24"/>
        </w:rPr>
        <w:t>ия возложить на директора м</w:t>
      </w:r>
      <w:r>
        <w:rPr>
          <w:rFonts w:ascii="Arial" w:eastAsia="Times New Roman" w:hAnsi="Arial" w:cs="Arial"/>
          <w:sz w:val="24"/>
          <w:szCs w:val="24"/>
        </w:rPr>
        <w:t>униципального казённого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центр «Платформа».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9F42BE" w:rsidTr="009F42BE">
        <w:tc>
          <w:tcPr>
            <w:tcW w:w="5494" w:type="dxa"/>
          </w:tcPr>
          <w:p w:rsidR="009F42BE" w:rsidRDefault="009F42BE" w:rsidP="009F42B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городское поселение Печенга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Мурманской области</w:t>
            </w:r>
          </w:p>
        </w:tc>
        <w:tc>
          <w:tcPr>
            <w:tcW w:w="5495" w:type="dxa"/>
            <w:vAlign w:val="center"/>
          </w:tcPr>
          <w:p w:rsidR="009F42BE" w:rsidRDefault="009F42BE" w:rsidP="009F42B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СОГЛАСОВАНО: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7196"/>
        <w:gridCol w:w="2219"/>
      </w:tblGrid>
      <w:tr w:rsidR="00F01A99" w:rsidTr="00FD2807">
        <w:tc>
          <w:tcPr>
            <w:tcW w:w="7196" w:type="dxa"/>
          </w:tcPr>
          <w:p w:rsidR="00F01A99" w:rsidRDefault="000E0DC0" w:rsidP="000E0DC0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 </w:t>
            </w:r>
            <w:r w:rsidR="00F01A99">
              <w:rPr>
                <w:rFonts w:ascii="Arial" w:hAnsi="Arial" w:cs="Arial"/>
              </w:rPr>
              <w:t xml:space="preserve">              ___________________</w:t>
            </w:r>
          </w:p>
        </w:tc>
        <w:tc>
          <w:tcPr>
            <w:tcW w:w="2219" w:type="dxa"/>
            <w:hideMark/>
          </w:tcPr>
          <w:p w:rsidR="00F01A99" w:rsidRDefault="000E0DC0" w:rsidP="00F01A99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Н. </w:t>
            </w:r>
            <w:proofErr w:type="spellStart"/>
            <w:r>
              <w:rPr>
                <w:rFonts w:ascii="Arial" w:hAnsi="Arial" w:cs="Arial"/>
              </w:rPr>
              <w:t>Быстров</w:t>
            </w:r>
            <w:proofErr w:type="spellEnd"/>
          </w:p>
          <w:p w:rsidR="00F01A99" w:rsidRDefault="00F01A99" w:rsidP="00F01A99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1A99" w:rsidTr="00FD2807">
        <w:tc>
          <w:tcPr>
            <w:tcW w:w="7196" w:type="dxa"/>
            <w:hideMark/>
          </w:tcPr>
          <w:p w:rsidR="00F01A99" w:rsidRDefault="00AD619C" w:rsidP="00AD619C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И. о. н</w:t>
            </w:r>
            <w:r w:rsidR="00F01A9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 xml:space="preserve">а  финансового отдела  </w:t>
            </w:r>
            <w:r w:rsidR="008832D8">
              <w:rPr>
                <w:rFonts w:ascii="Arial" w:hAnsi="Arial" w:cs="Arial"/>
              </w:rPr>
              <w:t xml:space="preserve">           </w:t>
            </w:r>
            <w:r w:rsidR="00F01A99">
              <w:rPr>
                <w:rFonts w:ascii="Arial" w:hAnsi="Arial" w:cs="Arial"/>
              </w:rPr>
              <w:t>__________________</w:t>
            </w:r>
          </w:p>
        </w:tc>
        <w:tc>
          <w:tcPr>
            <w:tcW w:w="2219" w:type="dxa"/>
            <w:hideMark/>
          </w:tcPr>
          <w:p w:rsidR="00F01A99" w:rsidRPr="008832D8" w:rsidRDefault="008832D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832D8">
              <w:rPr>
                <w:rFonts w:ascii="Arial" w:hAnsi="Arial" w:cs="Arial"/>
                <w:lang w:eastAsia="en-US"/>
              </w:rPr>
              <w:t xml:space="preserve">И. О. </w:t>
            </w:r>
            <w:proofErr w:type="spellStart"/>
            <w:r w:rsidRPr="008832D8">
              <w:rPr>
                <w:rFonts w:ascii="Arial" w:hAnsi="Arial" w:cs="Arial"/>
                <w:lang w:eastAsia="en-US"/>
              </w:rPr>
              <w:t>Бамбул</w:t>
            </w:r>
            <w:proofErr w:type="spellEnd"/>
          </w:p>
        </w:tc>
      </w:tr>
      <w:tr w:rsidR="00F01A99" w:rsidTr="00FD2807">
        <w:tc>
          <w:tcPr>
            <w:tcW w:w="7196" w:type="dxa"/>
          </w:tcPr>
          <w:p w:rsidR="00F01A99" w:rsidRDefault="00F01A99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9" w:type="dxa"/>
            <w:hideMark/>
          </w:tcPr>
          <w:p w:rsidR="00F01A99" w:rsidRDefault="00F01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2807" w:rsidRDefault="00E55802" w:rsidP="00FD280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</w:rPr>
        <w:t>Начальник юридического отдела</w:t>
      </w:r>
      <w:r w:rsidR="00FD2807">
        <w:rPr>
          <w:rFonts w:ascii="Arial" w:hAnsi="Arial" w:cs="Arial"/>
        </w:rPr>
        <w:t xml:space="preserve">                      ___________________   </w:t>
      </w:r>
      <w:r w:rsidR="009F42BE">
        <w:rPr>
          <w:rFonts w:ascii="Arial" w:hAnsi="Arial" w:cs="Arial"/>
        </w:rPr>
        <w:t>И. В. Воронцов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Г. Р. Фролова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16"/>
          <w:szCs w:val="16"/>
        </w:rPr>
        <w:t>Рассылка 7 экз.: дело-2; прокуратура – 1, Зам</w:t>
      </w:r>
      <w:proofErr w:type="gramStart"/>
      <w:r>
        <w:rPr>
          <w:rFonts w:ascii="Arial" w:eastAsia="Times New Roman" w:hAnsi="Arial" w:cs="Arial"/>
          <w:sz w:val="16"/>
          <w:szCs w:val="16"/>
        </w:rPr>
        <w:t>.Г</w:t>
      </w:r>
      <w:proofErr w:type="gramEnd"/>
      <w:r>
        <w:rPr>
          <w:rFonts w:ascii="Arial" w:eastAsia="Times New Roman" w:hAnsi="Arial" w:cs="Arial"/>
          <w:sz w:val="16"/>
          <w:szCs w:val="16"/>
        </w:rPr>
        <w:t>лавы – 1,  Фин. отдел – 1, МКУ «МФЦ МО г.п. Печенга» - 1, МКУ «КДЦ «Платформа» - 1.</w:t>
      </w:r>
      <w:r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42BE" w:rsidRDefault="009F4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FD2807" w:rsidRDefault="00F4657F" w:rsidP="00D3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_______2017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Печенгского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Мурманской области на 201</w:t>
      </w:r>
      <w:r w:rsidR="008C05E0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D3435B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 в редакции от __________ 2017 г.)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C05E0" w:rsidRDefault="008C05E0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ПАСПОРТ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 w:rsidRPr="00FD2807"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 w:rsidRPr="00FD2807">
        <w:rPr>
          <w:rFonts w:ascii="Arial" w:eastAsia="Times New Roman" w:hAnsi="Arial" w:cs="Arial"/>
          <w:sz w:val="24"/>
          <w:szCs w:val="24"/>
        </w:rPr>
        <w:t xml:space="preserve"> района Мурманской области на 201</w:t>
      </w:r>
      <w:r w:rsidR="008C05E0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 xml:space="preserve"> год»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803"/>
      </w:tblGrid>
      <w:tr w:rsidR="00FD2807" w:rsidRPr="00FD2807" w:rsidTr="00FD2807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Обеспечение единого культурного пространства и доступности культурных ценностей всем слоям населения.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Формирование, сохранение и развитие культурных традиций, как ресурса социально-экономического развития поселения.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Содействие социальному, культурному и духовному развитию детей и молодежи.</w:t>
            </w:r>
          </w:p>
        </w:tc>
      </w:tr>
      <w:tr w:rsidR="00FD2807" w:rsidRPr="00FD2807" w:rsidTr="00FD2807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 у детей и молодежи активной жизненной позиции, готовности к участию в общественной жизни поселения и страны.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информационного обеспечения молодежной политики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мероприятий, организованных учреждением;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участников в массовых культурных мероприятиях;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Доля детей, привлекаемых к участию в мероприятиях от общего числа детей;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Количество привлеченных коллективов 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медалей.</w:t>
            </w:r>
          </w:p>
        </w:tc>
      </w:tr>
      <w:tr w:rsidR="00FD2807" w:rsidRPr="00FD2807" w:rsidTr="003C2F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3C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201</w:t>
            </w:r>
            <w:r w:rsidR="008C05E0">
              <w:rPr>
                <w:rFonts w:ascii="Arial" w:hAnsi="Arial" w:cs="Arial"/>
                <w:sz w:val="24"/>
                <w:szCs w:val="24"/>
              </w:rPr>
              <w:t>7</w:t>
            </w:r>
            <w:r w:rsidRPr="00FD280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D2807" w:rsidRPr="00FD2807" w:rsidTr="00FD280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(тыс. руб.)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Всего по Программе:     </w:t>
            </w:r>
          </w:p>
          <w:p w:rsidR="00FD2807" w:rsidRPr="003D4EB2" w:rsidRDefault="00B1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21077,59108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205B" w:rsidRPr="003D4EB2" w:rsidRDefault="00FD2807" w:rsidP="00D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B170F7">
              <w:rPr>
                <w:rFonts w:ascii="Arial" w:hAnsi="Arial" w:cs="Arial"/>
                <w:sz w:val="24"/>
                <w:szCs w:val="24"/>
              </w:rPr>
              <w:t>8677,59108</w:t>
            </w:r>
            <w:r w:rsidRPr="003D4EB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2807" w:rsidRPr="003D4EB2" w:rsidRDefault="00D1205B" w:rsidP="0067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>ВБС: 1</w:t>
            </w:r>
            <w:r w:rsidR="00987D98" w:rsidRPr="003D4EB2">
              <w:rPr>
                <w:rFonts w:ascii="Arial" w:hAnsi="Arial" w:cs="Arial"/>
                <w:sz w:val="24"/>
                <w:szCs w:val="24"/>
              </w:rPr>
              <w:t>2</w:t>
            </w:r>
            <w:r w:rsidR="00671D28" w:rsidRPr="003D4EB2">
              <w:rPr>
                <w:rFonts w:ascii="Arial" w:hAnsi="Arial" w:cs="Arial"/>
                <w:sz w:val="24"/>
                <w:szCs w:val="24"/>
              </w:rPr>
              <w:t>4</w:t>
            </w:r>
            <w:r w:rsidR="00987D98" w:rsidRPr="003D4EB2">
              <w:rPr>
                <w:rFonts w:ascii="Arial" w:hAnsi="Arial" w:cs="Arial"/>
                <w:sz w:val="24"/>
                <w:szCs w:val="24"/>
              </w:rPr>
              <w:t>00</w:t>
            </w:r>
            <w:r w:rsidRPr="003D4EB2">
              <w:rPr>
                <w:rFonts w:ascii="Arial" w:hAnsi="Arial" w:cs="Arial"/>
                <w:sz w:val="24"/>
                <w:szCs w:val="24"/>
              </w:rPr>
              <w:t>,0 тыс. рублей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активное вовлечение жителей в организованную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деятельность; 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Обогащение среды через ее наполнение культурными событиями, формирование благоприятного 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климата в поселении;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поколения.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FD2807" w:rsidRPr="00FD2807" w:rsidTr="00FD280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http://</w:t>
            </w:r>
            <w:r w:rsidRPr="00FD2807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FD280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FD2807" w:rsidRPr="00FD2807" w:rsidRDefault="00FD2807" w:rsidP="00FD28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ПОНЯТИЯ И ТЕРМИНЫ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комплекс,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мероприятие</w:t>
      </w:r>
      <w:r w:rsidRPr="00FD2807">
        <w:rPr>
          <w:rFonts w:ascii="Arial" w:eastAsia="Times New Roman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ХАРАКТЕРИСТИКА ПРОБЛЕМЫ, НА РЕШЕНИЕ КОТОРОЙ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НАПРАВЛЕНА ПРОГРАММА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Основная цель реализации молодежной политики в городском поселении Печенга - развитие творческого, интеллектуального, трудового, лидерского потенциала молодежи в интересах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Заполярный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В поселении с каждым годом растёт число молодых людей, вовлеченных в общественные процессы. Среди детей и молодежи городского поселения много талантливых, одаренных людей.</w:t>
      </w:r>
    </w:p>
    <w:p w:rsidR="00FD2807" w:rsidRPr="00FD2807" w:rsidRDefault="00FD2807" w:rsidP="00781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4. ОСНОВНЫЕ ЦЕЛИ И ЗАДАЧИ ПРОГРАММЫ С УКАЗАНИЕМ СРОКОВ И ЭТАПОВ ЕЕ РЕАЛИЗАЦИИ, А ТАКЖЕ ЦЕЛЕВЫХ ИНДИКАТОРОВ И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ПОКАЗАТЕЛЕЙ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1. Обеспечение единого культурного пространства и доступности культурных ценностей всем слоям населения;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2. Формирование, сохранение и развитие общепоселковых культурных традиций, как ресурса социально-экономического развития поселения;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3. Содействие социальному, культурному и духовному развитию молодежи.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детей и молодежи. Поддержка творчески одаренных детей и молодежи;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поселения и страны;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Реализация Программы рассчитана на 201</w:t>
      </w:r>
      <w:r w:rsidR="007911AC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EB31D5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31D5" w:rsidRPr="00FD2807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Основные целевые индикаторы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и показатели эффективности реализации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257"/>
        <w:gridCol w:w="4158"/>
      </w:tblGrid>
      <w:tr w:rsidR="00FD2807" w:rsidRPr="00FD2807" w:rsidTr="00FD2807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Цель, задачи и показатели</w:t>
            </w:r>
          </w:p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D2807" w:rsidRPr="00FD2807" w:rsidTr="00FD2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FD2807" w:rsidTr="00C8792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40-60</w:t>
            </w:r>
          </w:p>
        </w:tc>
      </w:tr>
      <w:tr w:rsidR="00FD2807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12CDB" w:rsidRPr="00FD2807" w:rsidTr="006F6178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DB" w:rsidRPr="006F6178" w:rsidRDefault="001C095A" w:rsidP="001C09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1.2. Реконструкция,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сохранение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 содержание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>здания учреждения культуры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86916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91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178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6F6178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2-</w:t>
            </w:r>
            <w:r w:rsidR="00EC1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6178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выпускников общеобразовательных учреждений муниципального образования городское поселение Печенга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60-70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100-120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DD5E37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1-3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5177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100-500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712CDB" w:rsidRPr="00FD2807" w:rsidTr="00C87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 w:rsidP="0022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Количество размещенной информации о проходящих в </w:t>
            </w:r>
            <w:r w:rsidR="00223589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населенных пунктах</w:t>
            </w:r>
            <w:r w:rsidR="00EC16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мероприятиях на официальном Интернет-сайте администрации муниципального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образования городское поселение Печенга, </w:t>
            </w:r>
            <w:r w:rsidR="0036666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других источниках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Не менее 8</w:t>
            </w:r>
          </w:p>
        </w:tc>
      </w:tr>
    </w:tbl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5. ПРОГРАММНЫЕ МЕРОПРИЯТИЯ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FD2807" w:rsidRP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6. МЕХАНИЗМ РЕАЛИЗАЦИИ ПРОГРАММЫ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 МКУ </w:t>
      </w:r>
      <w:r w:rsidR="0078102D">
        <w:rPr>
          <w:rFonts w:ascii="Arial" w:eastAsia="Times New Roman" w:hAnsi="Arial" w:cs="Arial"/>
          <w:sz w:val="24"/>
          <w:szCs w:val="24"/>
        </w:rPr>
        <w:t>«КДЦ «Платформа» – ответственный</w:t>
      </w:r>
      <w:r w:rsidRPr="00FD2807">
        <w:rPr>
          <w:rFonts w:ascii="Arial" w:eastAsia="Times New Roman" w:hAnsi="Arial" w:cs="Arial"/>
          <w:sz w:val="24"/>
          <w:szCs w:val="24"/>
        </w:rPr>
        <w:t xml:space="preserve"> исполнител</w:t>
      </w:r>
      <w:r w:rsidR="0078102D">
        <w:rPr>
          <w:rFonts w:ascii="Arial" w:eastAsia="Times New Roman" w:hAnsi="Arial" w:cs="Arial"/>
          <w:sz w:val="24"/>
          <w:szCs w:val="24"/>
        </w:rPr>
        <w:t>ь</w:t>
      </w:r>
      <w:r w:rsidRPr="00FD2807">
        <w:rPr>
          <w:rFonts w:ascii="Arial" w:eastAsia="Times New Roman" w:hAnsi="Arial" w:cs="Arial"/>
          <w:sz w:val="24"/>
          <w:szCs w:val="24"/>
        </w:rPr>
        <w:t xml:space="preserve"> Программы: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FD2807" w:rsidRP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FD2807" w:rsidSect="00640BE0">
          <w:pgSz w:w="11905" w:h="16838"/>
          <w:pgMar w:top="426" w:right="423" w:bottom="284" w:left="709" w:header="720" w:footer="720" w:gutter="0"/>
          <w:cols w:space="720"/>
        </w:sectPr>
      </w:pP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>Приложение № 1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                              к Программе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487"/>
        <w:gridCol w:w="1303"/>
        <w:gridCol w:w="1980"/>
        <w:gridCol w:w="2044"/>
        <w:gridCol w:w="2568"/>
      </w:tblGrid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Объём финансирования,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23581E" w:rsidTr="00235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6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23581E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712CDB">
        <w:trPr>
          <w:trHeight w:val="37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37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712CDB" w:rsidRDefault="004267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Реконструкция,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сохранение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содержание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A7613B" w:rsidTr="00712CDB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 w:rsidP="004267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Выполнение работ по капитальному ремонту </w:t>
            </w:r>
            <w:r w:rsidR="00C6173B"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внутренних помещений с заменой окон и дверей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4267D5" w:rsidRDefault="004B6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426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III </w:t>
            </w:r>
            <w:r w:rsidR="004267D5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r w:rsidR="00240A73">
              <w:rPr>
                <w:rFonts w:ascii="Arial" w:eastAsia="Times New Roman" w:hAnsi="Arial" w:cs="Arial"/>
                <w:sz w:val="24"/>
                <w:szCs w:val="24"/>
              </w:rPr>
              <w:t xml:space="preserve">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A7613B" w:rsidTr="00816413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D619C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5452,59108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855047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12000,0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D619C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17452,59108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Оказание услуг по содержанию здания (отопление, </w:t>
            </w: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электричество, холодное и горячее водоснабжение и т. д.)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– </w:t>
            </w: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 «КДЦ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2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1.2.3.</w:t>
            </w:r>
          </w:p>
        </w:tc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5D483E" w:rsidP="00426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C3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816413"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5D483E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371268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6452,59108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37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18852,59108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371268" w:rsidP="0012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7452,59108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4B6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4B62E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371268" w:rsidP="002A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19852,59108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0D6D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одное поздравление выпускников; выпускников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получателей золотых и серебряных медалей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первоклассников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общеобразовательных школ 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="00894ED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юнь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5D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rPr>
          <w:trHeight w:val="2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66701D">
        <w:trPr>
          <w:trHeight w:val="3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«Платформа»</w:t>
            </w:r>
          </w:p>
        </w:tc>
      </w:tr>
      <w:tr w:rsidR="00894ED5" w:rsidTr="0023581E">
        <w:trPr>
          <w:trHeight w:val="26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Организация и проведение новогодней ёлки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1264EF" w:rsidP="00E31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3151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65,0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E3151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65,0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589" w:rsidTr="00DA5C86">
        <w:trPr>
          <w:trHeight w:val="279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89" w:rsidRPr="00223589" w:rsidRDefault="00223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Задача 2.3. Организация информационного обеспечения</w:t>
            </w:r>
            <w:r w:rsidR="00DA5C8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молодежной политики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Размещение информации о проход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DA5C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  <w:r w:rsidR="00DA5C86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225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225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444585" w:rsidP="00671D28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8677,59108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444585" w:rsidP="00DA64B1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21077,59108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ФБ - федеральный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ОБ - областной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МБ - местный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РБ – районный бюджет; 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ВБС - внебюджетные средства.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Приложение № 2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Программе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173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Перечень программных мероприятий</w:t>
      </w: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с показателями результативности выполнения мероприятий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935"/>
        <w:gridCol w:w="1619"/>
        <w:gridCol w:w="2300"/>
        <w:gridCol w:w="1480"/>
        <w:gridCol w:w="3403"/>
        <w:gridCol w:w="1949"/>
      </w:tblGrid>
      <w:tr w:rsidR="00FD2807" w:rsidRPr="0066701D" w:rsidTr="003D0F1A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FD2807" w:rsidRPr="0066701D" w:rsidTr="003D0F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40-60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571BF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B1F20" w:rsidRPr="0066701D" w:rsidTr="00F01A99">
        <w:trPr>
          <w:trHeight w:val="18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1.2. Реконструкция,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сохранение</w:t>
            </w: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и содержание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Январь-декабрь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1C09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</w:t>
            </w:r>
            <w:r w:rsidR="001C095A" w:rsidRPr="0066701D">
              <w:rPr>
                <w:rFonts w:ascii="Arial" w:eastAsia="Times New Roman" w:hAnsi="Arial" w:cs="Arial"/>
                <w:sz w:val="24"/>
                <w:szCs w:val="24"/>
              </w:rPr>
              <w:t>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</w:t>
            </w:r>
            <w:r w:rsidR="002D4879"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атформа»</w:t>
            </w:r>
          </w:p>
        </w:tc>
      </w:tr>
      <w:tr w:rsidR="001C095A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Цель: Содействие социальному, культурному и духовному развитию молодежи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молодежи. Поддержка творчески одаренной молодежи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Ежегодное поздравление выпускников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60-70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сентябрь ежегодно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100-120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1-3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50-100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ёлки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FA3CF4">
        <w:trPr>
          <w:trHeight w:val="299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FA3CF4">
            <w:pPr>
              <w:spacing w:after="0" w:line="274" w:lineRule="exact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8-15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FD2807" w:rsidRDefault="00FD2807" w:rsidP="00FD2807">
      <w:pPr>
        <w:spacing w:after="0"/>
        <w:rPr>
          <w:rFonts w:ascii="Arial" w:hAnsi="Arial" w:cs="Arial"/>
        </w:rPr>
        <w:sectPr w:rsidR="00FD2807">
          <w:pgSz w:w="16838" w:h="11906" w:orient="landscape"/>
          <w:pgMar w:top="851" w:right="851" w:bottom="567" w:left="851" w:header="709" w:footer="709" w:gutter="0"/>
          <w:cols w:space="720"/>
        </w:sect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 ОБОСНОВАНИЕ ПОТРЕБНОСТИ В ПРЕДОСТАВЛЯЕМЫХ РЕСУРСАХ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Программа финансируется за счет средств бюджета муниципального образования городское поселение Печенга.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Обоснование потребности в необходимых ресурсах на реализацию мероприятий Программы приводится по затратам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076"/>
        <w:gridCol w:w="2362"/>
      </w:tblGrid>
      <w:tr w:rsidR="00FD2807" w:rsidTr="0007078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B4DEA" w:rsidTr="00F01A99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</w:t>
            </w:r>
          </w:p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 xml:space="preserve">Торжественные поздравления </w:t>
            </w:r>
            <w:proofErr w:type="gramStart"/>
            <w:r w:rsidRPr="0005442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5442A">
              <w:rPr>
                <w:rFonts w:ascii="Arial" w:hAnsi="Arial" w:cs="Arial"/>
                <w:sz w:val="24"/>
                <w:szCs w:val="24"/>
              </w:rPr>
              <w:t xml:space="preserve"> Дню защитника отечества и 8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B4DEA" w:rsidTr="00F01A99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 Дню Печенги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C11CD" w:rsidP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7B4DEA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3C2F13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Запуск н</w:t>
            </w:r>
            <w:r w:rsidR="007B4DEA" w:rsidRPr="0005442A">
              <w:rPr>
                <w:rFonts w:ascii="Arial" w:hAnsi="Arial" w:cs="Arial"/>
                <w:sz w:val="24"/>
                <w:szCs w:val="24"/>
              </w:rPr>
              <w:t xml:space="preserve">овогоднего фейерверка в </w:t>
            </w:r>
            <w:r w:rsidR="00571BF6" w:rsidRPr="0005442A">
              <w:rPr>
                <w:rFonts w:ascii="Arial" w:hAnsi="Arial" w:cs="Arial"/>
                <w:sz w:val="24"/>
                <w:szCs w:val="24"/>
              </w:rPr>
              <w:t>населенных пунктах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EC7F8F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5452,59108</w:t>
            </w:r>
          </w:p>
          <w:p w:rsidR="00A370F8" w:rsidRPr="0005442A" w:rsidRDefault="00A370F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 (отопление, электричество, холодное и горячее водоснабжение)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400,00</w:t>
            </w:r>
          </w:p>
        </w:tc>
      </w:tr>
      <w:tr w:rsidR="00767266" w:rsidTr="00CC2A1F">
        <w:trPr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Торжественное поздравление выпускников, медалистов и первоклассников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67266" w:rsidTr="0007078A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2.2.</w:t>
            </w:r>
          </w:p>
          <w:p w:rsidR="00767266" w:rsidRPr="0005442A" w:rsidRDefault="00767266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Фестиваль «Северное сияние 2016»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767266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Торжественные мероприятия, посвященные Международному дню защиты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67266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Торжественные мероприятия, посвященные Дню молодежи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67266" w:rsidTr="0007078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елки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65,0</w:t>
            </w:r>
          </w:p>
        </w:tc>
      </w:tr>
      <w:tr w:rsidR="00767266" w:rsidTr="005A00EC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Подарки для детей на Новогоднюю елку (школьники, детские сады, неорганизованные дети)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571BF6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500</w:t>
            </w:r>
            <w:r w:rsidR="00767266"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5A00EC" w:rsidTr="0007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5A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05442A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767266" w:rsidTr="002B0BF0"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67266" w:rsidTr="00571BF6">
        <w:trPr>
          <w:trHeight w:val="535"/>
        </w:trPr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МБ – </w:t>
            </w:r>
            <w:r w:rsidR="00EC7F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8977,59108</w:t>
            </w:r>
          </w:p>
          <w:p w:rsidR="00767266" w:rsidRPr="0005442A" w:rsidRDefault="00767266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ВБС – 12</w:t>
            </w:r>
            <w:r w:rsidR="0067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CC2A1F" w:rsidRDefault="00CC2A1F"/>
    <w:sectPr w:rsidR="00CC2A1F" w:rsidSect="008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025"/>
    <w:multiLevelType w:val="hybridMultilevel"/>
    <w:tmpl w:val="E0FA5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07"/>
    <w:rsid w:val="000034DE"/>
    <w:rsid w:val="00023B36"/>
    <w:rsid w:val="00034C2E"/>
    <w:rsid w:val="0005442A"/>
    <w:rsid w:val="000545C8"/>
    <w:rsid w:val="0007078A"/>
    <w:rsid w:val="00092E32"/>
    <w:rsid w:val="000B27E2"/>
    <w:rsid w:val="000D6D5A"/>
    <w:rsid w:val="000E0DC0"/>
    <w:rsid w:val="001115AB"/>
    <w:rsid w:val="001264EF"/>
    <w:rsid w:val="001542B4"/>
    <w:rsid w:val="001C095A"/>
    <w:rsid w:val="001C6E93"/>
    <w:rsid w:val="001D5FF2"/>
    <w:rsid w:val="00211B4E"/>
    <w:rsid w:val="00223589"/>
    <w:rsid w:val="00224EE8"/>
    <w:rsid w:val="0023581E"/>
    <w:rsid w:val="00240A73"/>
    <w:rsid w:val="002A42EB"/>
    <w:rsid w:val="002B0BF0"/>
    <w:rsid w:val="002D4879"/>
    <w:rsid w:val="0036666A"/>
    <w:rsid w:val="00371268"/>
    <w:rsid w:val="003C075F"/>
    <w:rsid w:val="003C2F13"/>
    <w:rsid w:val="003D0F1A"/>
    <w:rsid w:val="003D4EB2"/>
    <w:rsid w:val="003F42E1"/>
    <w:rsid w:val="004056CE"/>
    <w:rsid w:val="00410527"/>
    <w:rsid w:val="004267D5"/>
    <w:rsid w:val="00444585"/>
    <w:rsid w:val="004B326E"/>
    <w:rsid w:val="004B62EC"/>
    <w:rsid w:val="004F6508"/>
    <w:rsid w:val="0051773F"/>
    <w:rsid w:val="00562DBC"/>
    <w:rsid w:val="00571BF6"/>
    <w:rsid w:val="0058770E"/>
    <w:rsid w:val="005A00EC"/>
    <w:rsid w:val="005D483E"/>
    <w:rsid w:val="00640BE0"/>
    <w:rsid w:val="0066701D"/>
    <w:rsid w:val="00671D28"/>
    <w:rsid w:val="00686916"/>
    <w:rsid w:val="006F6178"/>
    <w:rsid w:val="00712CDB"/>
    <w:rsid w:val="0075380D"/>
    <w:rsid w:val="00767266"/>
    <w:rsid w:val="0078102D"/>
    <w:rsid w:val="007911AC"/>
    <w:rsid w:val="007B1F20"/>
    <w:rsid w:val="007B4DEA"/>
    <w:rsid w:val="007C11CD"/>
    <w:rsid w:val="00815CBD"/>
    <w:rsid w:val="00816413"/>
    <w:rsid w:val="00830639"/>
    <w:rsid w:val="008326C2"/>
    <w:rsid w:val="0084276E"/>
    <w:rsid w:val="00855047"/>
    <w:rsid w:val="00860A21"/>
    <w:rsid w:val="00880786"/>
    <w:rsid w:val="008832D8"/>
    <w:rsid w:val="00894ED5"/>
    <w:rsid w:val="00896920"/>
    <w:rsid w:val="008C05E0"/>
    <w:rsid w:val="008E2654"/>
    <w:rsid w:val="0093675A"/>
    <w:rsid w:val="00964BFE"/>
    <w:rsid w:val="00974825"/>
    <w:rsid w:val="00987D98"/>
    <w:rsid w:val="009B70BB"/>
    <w:rsid w:val="009C7488"/>
    <w:rsid w:val="009D6825"/>
    <w:rsid w:val="009F42BE"/>
    <w:rsid w:val="009F7FD0"/>
    <w:rsid w:val="00A370F8"/>
    <w:rsid w:val="00A37402"/>
    <w:rsid w:val="00A7613B"/>
    <w:rsid w:val="00AC0EA6"/>
    <w:rsid w:val="00AD446F"/>
    <w:rsid w:val="00AD619C"/>
    <w:rsid w:val="00B170F7"/>
    <w:rsid w:val="00B52586"/>
    <w:rsid w:val="00C06D06"/>
    <w:rsid w:val="00C0759A"/>
    <w:rsid w:val="00C24D19"/>
    <w:rsid w:val="00C27D5F"/>
    <w:rsid w:val="00C31918"/>
    <w:rsid w:val="00C6173B"/>
    <w:rsid w:val="00C77CC3"/>
    <w:rsid w:val="00C87924"/>
    <w:rsid w:val="00CC2A1F"/>
    <w:rsid w:val="00D1205B"/>
    <w:rsid w:val="00D3435B"/>
    <w:rsid w:val="00D540F3"/>
    <w:rsid w:val="00D650BA"/>
    <w:rsid w:val="00DA5C86"/>
    <w:rsid w:val="00DA64B1"/>
    <w:rsid w:val="00DD5E37"/>
    <w:rsid w:val="00E22646"/>
    <w:rsid w:val="00E3151A"/>
    <w:rsid w:val="00E55802"/>
    <w:rsid w:val="00EB31D5"/>
    <w:rsid w:val="00EC1687"/>
    <w:rsid w:val="00EC5C3D"/>
    <w:rsid w:val="00EC7F8F"/>
    <w:rsid w:val="00EE5CA1"/>
    <w:rsid w:val="00F01A99"/>
    <w:rsid w:val="00F02C6B"/>
    <w:rsid w:val="00F20FA7"/>
    <w:rsid w:val="00F364CD"/>
    <w:rsid w:val="00F4657F"/>
    <w:rsid w:val="00F75A2B"/>
    <w:rsid w:val="00F93D12"/>
    <w:rsid w:val="00FA3CF4"/>
    <w:rsid w:val="00FB3330"/>
    <w:rsid w:val="00FD280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</w:style>
  <w:style w:type="paragraph" w:styleId="1">
    <w:name w:val="heading 1"/>
    <w:basedOn w:val="a"/>
    <w:next w:val="a"/>
    <w:link w:val="10"/>
    <w:qFormat/>
    <w:rsid w:val="00FD28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2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2807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D2807"/>
    <w:rPr>
      <w:rFonts w:ascii="Times New Roman" w:eastAsia="Times New Roman" w:hAnsi="Times New Roman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FD280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D2807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D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28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D28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FD28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8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2807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D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FD280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semiHidden/>
    <w:rsid w:val="00F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FontStyle36">
    <w:name w:val="Font Style36"/>
    <w:rsid w:val="00FD28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D2807"/>
  </w:style>
  <w:style w:type="table" w:styleId="af">
    <w:name w:val="Table Grid"/>
    <w:basedOn w:val="a1"/>
    <w:rsid w:val="009F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9DD-8D7D-4DA0-8B04-C3A177A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87</cp:revision>
  <cp:lastPrinted>2017-05-22T08:42:00Z</cp:lastPrinted>
  <dcterms:created xsi:type="dcterms:W3CDTF">2016-07-05T09:21:00Z</dcterms:created>
  <dcterms:modified xsi:type="dcterms:W3CDTF">2017-06-08T07:11:00Z</dcterms:modified>
</cp:coreProperties>
</file>