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4317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A623DA">
        <w:t>60 274 211,90</w:t>
      </w:r>
      <w:r w:rsidRPr="0010007B">
        <w:t xml:space="preserve"> руб.;</w:t>
      </w:r>
    </w:p>
    <w:p w:rsidR="009A6050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8B0069">
        <w:t>63 118 202,40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8B0069">
        <w:t>2 843 990,50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Решению.</w:t>
      </w:r>
    </w:p>
    <w:p w:rsidR="009A6050" w:rsidRPr="0010007B" w:rsidRDefault="009A6050" w:rsidP="0010007B">
      <w:pPr>
        <w:pStyle w:val="20"/>
        <w:numPr>
          <w:ilvl w:val="0"/>
          <w:numId w:val="7"/>
        </w:numPr>
        <w:tabs>
          <w:tab w:val="left" w:pos="1418"/>
        </w:tabs>
        <w:spacing w:after="0" w:line="288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администраторов:</w:t>
      </w:r>
    </w:p>
    <w:p w:rsidR="009A6050" w:rsidRPr="0010007B" w:rsidRDefault="009A6050" w:rsidP="0010007B">
      <w:pPr>
        <w:pStyle w:val="20"/>
        <w:numPr>
          <w:ilvl w:val="0"/>
          <w:numId w:val="17"/>
        </w:numPr>
        <w:tabs>
          <w:tab w:val="left" w:pos="1418"/>
        </w:tabs>
        <w:spacing w:after="0" w:line="288" w:lineRule="auto"/>
        <w:ind w:left="0" w:right="45" w:firstLine="851"/>
        <w:contextualSpacing/>
        <w:jc w:val="both"/>
      </w:pPr>
      <w:r w:rsidRPr="0010007B">
        <w:t xml:space="preserve">доходов </w:t>
      </w:r>
      <w:r w:rsidR="00844340" w:rsidRPr="0010007B">
        <w:t xml:space="preserve">городского поселения Печенга </w:t>
      </w:r>
      <w:r w:rsidRPr="0010007B">
        <w:t>согласно Приложению 1 к настоящему Решению;</w:t>
      </w:r>
    </w:p>
    <w:p w:rsidR="009A6050" w:rsidRPr="0010007B" w:rsidRDefault="009A6050" w:rsidP="0010007B">
      <w:pPr>
        <w:pStyle w:val="20"/>
        <w:numPr>
          <w:ilvl w:val="0"/>
          <w:numId w:val="17"/>
        </w:numPr>
        <w:tabs>
          <w:tab w:val="left" w:pos="1418"/>
        </w:tabs>
        <w:spacing w:after="0" w:line="288" w:lineRule="auto"/>
        <w:ind w:left="0" w:right="45" w:firstLine="851"/>
        <w:contextualSpacing/>
        <w:jc w:val="both"/>
      </w:pPr>
      <w:r w:rsidRPr="0010007B">
        <w:t xml:space="preserve">источников финансирования дефицита </w:t>
      </w:r>
      <w:r w:rsidR="00844340" w:rsidRPr="0010007B">
        <w:t xml:space="preserve">городского поселения Печенга  </w:t>
      </w:r>
      <w:r w:rsidRPr="0010007B">
        <w:t>согласно Приложению 2 к настоящему Решению.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случае изменения состава и (или) функций главных администраторов доходов </w:t>
      </w:r>
      <w:r w:rsidR="00844340" w:rsidRPr="0010007B">
        <w:t xml:space="preserve">бюджета городского поселения Печенга </w:t>
      </w:r>
      <w:r w:rsidRPr="0010007B">
        <w:t xml:space="preserve">или главных администраторов источников финансирования дефицита </w:t>
      </w:r>
      <w:r w:rsidR="00844340" w:rsidRPr="0010007B">
        <w:t>бюджета городское поселение Печенга администрация</w:t>
      </w:r>
      <w:r w:rsidRPr="0010007B">
        <w:t xml:space="preserve"> муниципального образования </w:t>
      </w:r>
      <w:r w:rsidR="00844340" w:rsidRPr="0010007B">
        <w:t xml:space="preserve">городское поселение Печенга Печенгского района Мурманской области </w:t>
      </w:r>
      <w:r w:rsidRPr="0010007B">
        <w:t>вправе при определении принципов назначения, структуры кодов и присвоении кодов классификации доходов бюджетов Российской Федерации и  источников финансиро</w:t>
      </w:r>
      <w:r w:rsidR="00635E59">
        <w:t>вания дефицитов бюджетов вносит</w:t>
      </w:r>
      <w:r w:rsidRPr="0010007B">
        <w:t xml:space="preserve"> соответствующие изменения в состав закреплённых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9A6050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before="120" w:line="288" w:lineRule="auto"/>
        <w:ind w:left="0" w:right="45" w:firstLine="851"/>
        <w:contextualSpacing/>
        <w:jc w:val="both"/>
      </w:pPr>
      <w:r w:rsidRPr="0010007B">
        <w:t>Установить, что</w:t>
      </w:r>
      <w:r w:rsidR="00EC34DE" w:rsidRPr="0010007B">
        <w:t xml:space="preserve"> доходы </w:t>
      </w:r>
      <w:r w:rsidR="00844340" w:rsidRPr="0010007B">
        <w:t xml:space="preserve">бюджета городского поселения Печенга </w:t>
      </w:r>
      <w:r w:rsidR="00EC34DE" w:rsidRPr="0010007B">
        <w:t>в 201</w:t>
      </w:r>
      <w:r w:rsidR="00A623DA">
        <w:t>7</w:t>
      </w:r>
      <w:r w:rsidRPr="0010007B">
        <w:t xml:space="preserve"> году формируются за счёт налоговых и неналоговых доходов, доходов в части погашения задолженности прошлых лет и задолженности по отмененным налогам, сборам и иным обязательным платежам, подлежащим зачислению в </w:t>
      </w:r>
      <w:r w:rsidR="00844340" w:rsidRPr="0010007B">
        <w:t>бюджет городского поселения Печенга</w:t>
      </w:r>
      <w:r w:rsidRPr="0010007B">
        <w:t xml:space="preserve"> в соответствии с бюджетным законодательством Российской Федерации и законодательством Мурманской области по нормативам согласно Приложению 3 к настоящему Решению.</w:t>
      </w:r>
    </w:p>
    <w:p w:rsidR="009A6050" w:rsidRPr="0010007B" w:rsidRDefault="009A6050" w:rsidP="0010007B">
      <w:pPr>
        <w:pStyle w:val="20"/>
        <w:spacing w:after="0" w:line="288" w:lineRule="auto"/>
        <w:ind w:left="0" w:firstLine="851"/>
        <w:contextualSpacing/>
        <w:jc w:val="both"/>
      </w:pPr>
      <w:r w:rsidRPr="0010007B">
        <w:lastRenderedPageBreak/>
        <w:t xml:space="preserve">Установить, что средства, поступающие на счета получателей средств </w:t>
      </w:r>
      <w:r w:rsidR="00844340" w:rsidRPr="0010007B">
        <w:t>бюджета городского поселения Печенга</w:t>
      </w:r>
      <w:r w:rsidRPr="0010007B">
        <w:t xml:space="preserve">, в погашение дебиторской задолженности прошлых лет, в полном объёме зачисляются в доход </w:t>
      </w:r>
      <w:r w:rsidR="00844340" w:rsidRPr="0010007B">
        <w:t>бюджета городского поселения Печенга</w:t>
      </w:r>
      <w:r w:rsidRPr="0010007B">
        <w:t>.</w:t>
      </w:r>
    </w:p>
    <w:p w:rsidR="009A6050" w:rsidRPr="0010007B" w:rsidRDefault="009A6050" w:rsidP="0010007B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88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10007B">
      <w:pPr>
        <w:spacing w:line="288" w:lineRule="auto"/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6E7587">
      <w:pPr>
        <w:spacing w:line="288" w:lineRule="auto"/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9A6050" w:rsidRPr="0010007B" w:rsidRDefault="00FC30F2" w:rsidP="0010007B">
      <w:pPr>
        <w:spacing w:line="288" w:lineRule="auto"/>
        <w:ind w:firstLine="851"/>
        <w:contextualSpacing/>
        <w:jc w:val="both"/>
      </w:pPr>
      <w:r w:rsidRPr="0010007B">
        <w:t>распределение субсидий из бюджета городского поселения Печенга на выполнение переданных полномочий согласно Приложению 10 к настоящему Решению</w:t>
      </w:r>
      <w:r w:rsidR="009A6050" w:rsidRPr="0010007B">
        <w:t>.</w:t>
      </w:r>
    </w:p>
    <w:p w:rsidR="00702115" w:rsidRDefault="00E66B8F" w:rsidP="007021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>
        <w:t>Решением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Pr="00E81862" w:rsidRDefault="00E66B8F" w:rsidP="00702115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702115">
        <w:t>Решением</w:t>
      </w:r>
      <w:r w:rsidRPr="00E81862">
        <w:t>.</w:t>
      </w:r>
    </w:p>
    <w:p w:rsidR="009A6050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before="120" w:line="288" w:lineRule="auto"/>
        <w:ind w:left="0" w:firstLine="851"/>
        <w:contextualSpacing/>
        <w:jc w:val="both"/>
      </w:pPr>
      <w:r w:rsidRPr="0010007B"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C46451" w:rsidRPr="0010007B">
        <w:t>городского поселения Печенга</w:t>
      </w:r>
      <w:r w:rsidRPr="0010007B">
        <w:t>, связанные с резервированием средств в составе утверждённых бюджетных ассигнований:</w:t>
      </w:r>
    </w:p>
    <w:p w:rsidR="009A6050" w:rsidRPr="0010007B" w:rsidRDefault="009A6050" w:rsidP="0010007B">
      <w:pPr>
        <w:numPr>
          <w:ilvl w:val="0"/>
          <w:numId w:val="5"/>
        </w:numPr>
        <w:tabs>
          <w:tab w:val="clear" w:pos="2156"/>
          <w:tab w:val="num" w:pos="0"/>
        </w:tabs>
        <w:spacing w:line="288" w:lineRule="auto"/>
        <w:ind w:left="0" w:firstLine="851"/>
        <w:contextualSpacing/>
        <w:jc w:val="both"/>
      </w:pPr>
      <w:r w:rsidRPr="0010007B">
        <w:t xml:space="preserve">распределение средств резервного фонда администрации муниципального образования </w:t>
      </w:r>
      <w:r w:rsidR="00C46451" w:rsidRPr="0010007B">
        <w:t>городское поселение Печенга</w:t>
      </w:r>
      <w:r w:rsidRPr="0010007B">
        <w:t xml:space="preserve">, предусмотренных по разделу «Резервные фонды» раздела «Общегосударственные вопросы» классификации расходов бюджетов в сумме </w:t>
      </w:r>
      <w:r w:rsidR="006A2D4E">
        <w:t>00</w:t>
      </w:r>
      <w:r w:rsidR="008B7074">
        <w:t xml:space="preserve"> </w:t>
      </w:r>
      <w:r w:rsidR="00635E59">
        <w:t xml:space="preserve"> </w:t>
      </w:r>
      <w:r w:rsidRPr="0010007B">
        <w:t xml:space="preserve"> руб.</w:t>
      </w:r>
    </w:p>
    <w:p w:rsidR="009A6050" w:rsidRPr="0010007B" w:rsidRDefault="00C92307" w:rsidP="0010007B">
      <w:pPr>
        <w:numPr>
          <w:ilvl w:val="0"/>
          <w:numId w:val="7"/>
        </w:numPr>
        <w:tabs>
          <w:tab w:val="left" w:pos="1418"/>
        </w:tabs>
        <w:spacing w:before="120" w:line="288" w:lineRule="auto"/>
        <w:ind w:left="0" w:right="45" w:firstLine="851"/>
        <w:contextualSpacing/>
        <w:jc w:val="both"/>
      </w:pPr>
      <w:r w:rsidRPr="0010007B">
        <w:t xml:space="preserve">Установить верхний предел муниципального внутреннего долга муниципального образования </w:t>
      </w:r>
      <w:r w:rsidR="008173ED" w:rsidRPr="0010007B">
        <w:t xml:space="preserve">городское поселение Печенга </w:t>
      </w:r>
      <w:r w:rsidRPr="0010007B">
        <w:t>на 1 января 201</w:t>
      </w:r>
      <w:r w:rsidR="00A623DA">
        <w:t>8</w:t>
      </w:r>
      <w:r w:rsidRPr="0010007B">
        <w:t xml:space="preserve"> года по долговым обязательствам </w:t>
      </w:r>
      <w:r w:rsidR="008173ED" w:rsidRPr="0010007B">
        <w:t xml:space="preserve">муниципального образования Печенга </w:t>
      </w:r>
      <w:r w:rsidRPr="0010007B">
        <w:t>в сумме</w:t>
      </w:r>
      <w:r w:rsidR="00A623DA">
        <w:t xml:space="preserve"> 0</w:t>
      </w:r>
      <w:r w:rsidR="00FF2E7E" w:rsidRPr="0010007B">
        <w:t xml:space="preserve"> руб</w:t>
      </w:r>
      <w:r w:rsidR="00E96B10" w:rsidRPr="0010007B">
        <w:t>.</w:t>
      </w:r>
    </w:p>
    <w:p w:rsidR="009A6050" w:rsidRPr="00983400" w:rsidRDefault="009A6050" w:rsidP="0010007B">
      <w:pPr>
        <w:numPr>
          <w:ilvl w:val="0"/>
          <w:numId w:val="7"/>
        </w:numPr>
        <w:tabs>
          <w:tab w:val="left" w:pos="1418"/>
        </w:tabs>
        <w:spacing w:before="120" w:line="288" w:lineRule="auto"/>
        <w:ind w:left="0" w:firstLine="851"/>
        <w:contextualSpacing/>
        <w:jc w:val="both"/>
      </w:pPr>
      <w:r w:rsidRPr="00983400">
        <w:lastRenderedPageBreak/>
        <w:t>Утвердить программу внутренних заимствований муниципального обр</w:t>
      </w:r>
      <w:r w:rsidR="00357C65" w:rsidRPr="00983400">
        <w:t xml:space="preserve">азования </w:t>
      </w:r>
      <w:r w:rsidR="008173ED" w:rsidRPr="00983400">
        <w:t xml:space="preserve">городское поселение Печенга </w:t>
      </w:r>
      <w:r w:rsidR="00357C65" w:rsidRPr="00983400">
        <w:t>на 20</w:t>
      </w:r>
      <w:r w:rsidR="00E96B10" w:rsidRPr="00983400">
        <w:t>1</w:t>
      </w:r>
      <w:r w:rsidR="00A623DA">
        <w:t>7</w:t>
      </w:r>
      <w:r w:rsidR="00983400" w:rsidRPr="00983400">
        <w:t xml:space="preserve"> </w:t>
      </w:r>
      <w:r w:rsidRPr="00983400">
        <w:t xml:space="preserve">год согласно Приложению </w:t>
      </w:r>
      <w:r w:rsidR="00983400" w:rsidRPr="00983400">
        <w:t>1</w:t>
      </w:r>
      <w:r w:rsidR="00C62B89">
        <w:t>1</w:t>
      </w:r>
      <w:r w:rsidRPr="00983400">
        <w:t xml:space="preserve"> к настоящему Решению.</w:t>
      </w:r>
    </w:p>
    <w:p w:rsidR="009A6050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before="120" w:line="288" w:lineRule="auto"/>
        <w:ind w:left="0" w:firstLine="851"/>
        <w:contextualSpacing/>
        <w:jc w:val="both"/>
      </w:pPr>
      <w:r w:rsidRPr="0010007B">
        <w:t xml:space="preserve">Администрация муниципального образования </w:t>
      </w:r>
      <w:r w:rsidR="008173ED" w:rsidRPr="0010007B">
        <w:t xml:space="preserve">городское поселение Печенга  </w:t>
      </w:r>
      <w:r w:rsidRPr="0010007B">
        <w:t xml:space="preserve">вправе списывать безнадёжную к взысканию дебиторскую задолженность </w:t>
      </w:r>
      <w:r w:rsidR="008173ED" w:rsidRPr="0010007B">
        <w:t xml:space="preserve">муниципальных </w:t>
      </w:r>
      <w:r w:rsidRPr="0010007B">
        <w:t xml:space="preserve">учреждений в соответствии с порядком, утверждённым администрацией муниципального образования </w:t>
      </w:r>
      <w:r w:rsidR="008173ED" w:rsidRPr="0010007B">
        <w:t>городское поселение Печенга</w:t>
      </w:r>
      <w:r w:rsidRPr="0010007B">
        <w:t>.</w:t>
      </w:r>
    </w:p>
    <w:p w:rsidR="009A6050" w:rsidRPr="0010007B" w:rsidRDefault="009A6050" w:rsidP="0010007B">
      <w:pPr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before="120" w:line="288" w:lineRule="auto"/>
        <w:ind w:left="0" w:firstLine="851"/>
        <w:contextualSpacing/>
        <w:jc w:val="both"/>
      </w:pPr>
      <w:r w:rsidRPr="0010007B">
        <w:t xml:space="preserve">Установить, что главные распорядители средств бюджета </w:t>
      </w:r>
      <w:r w:rsidR="008173ED" w:rsidRPr="0010007B">
        <w:t xml:space="preserve">городского поселения Печенга </w:t>
      </w:r>
      <w:r w:rsidRPr="0010007B">
        <w:t xml:space="preserve">выступают в судах от имени казны муниципального образования </w:t>
      </w:r>
      <w:r w:rsidR="008173ED" w:rsidRPr="0010007B">
        <w:t>городское поселение Печенга</w:t>
      </w:r>
      <w:r w:rsidRPr="0010007B">
        <w:t xml:space="preserve"> в соответствии с законодательством Российской Федерации по искам:</w:t>
      </w:r>
    </w:p>
    <w:p w:rsidR="009A6050" w:rsidRPr="0010007B" w:rsidRDefault="009A6050" w:rsidP="0010007B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 w:rsidRPr="0010007B">
        <w:t>о возмещении вреда, причиненного физическому или юридическому лицу в результате незаконных действий (бездействия) органов местного самоуправления или их должностных лиц, в том числе в результате издания актов органов местного самоуправления, не соответствующих закону или иному нормативному правовому акту;</w:t>
      </w:r>
    </w:p>
    <w:p w:rsidR="009A6050" w:rsidRPr="0010007B" w:rsidRDefault="009A6050" w:rsidP="0010007B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 w:rsidRPr="0010007B">
        <w:t>предъявляемым в порядке субсидиарной ответственности по денежным обязательствам подведомственных учреждений.</w:t>
      </w:r>
    </w:p>
    <w:p w:rsidR="009A6050" w:rsidRDefault="009A6050" w:rsidP="0010007B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 w:rsidRPr="0010007B">
        <w:t xml:space="preserve"> Выплаты средств по исполнительным листам производятся за счет средств казны муниципального образования </w:t>
      </w:r>
      <w:r w:rsidR="008173ED" w:rsidRPr="0010007B">
        <w:t xml:space="preserve">городское поселение Печенга </w:t>
      </w:r>
      <w:r w:rsidRPr="0010007B">
        <w:t>из средств бюджета</w:t>
      </w:r>
      <w:r w:rsidR="008173ED" w:rsidRPr="0010007B">
        <w:t xml:space="preserve"> городского поселения Печенга</w:t>
      </w:r>
      <w:r w:rsidRPr="0010007B">
        <w:t>, выделенных главным распорядителям средств бюджета</w:t>
      </w:r>
      <w:r w:rsidR="008173ED" w:rsidRPr="0010007B">
        <w:t xml:space="preserve"> городское поселение Печенга</w:t>
      </w:r>
      <w:r w:rsidRPr="0010007B">
        <w:t>.</w:t>
      </w:r>
    </w:p>
    <w:p w:rsidR="00702115" w:rsidRPr="0010007B" w:rsidRDefault="00702115" w:rsidP="0010007B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>
        <w:t xml:space="preserve">13.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Печенга в размере </w:t>
      </w:r>
      <w:r w:rsidR="00A623DA">
        <w:t>6 239 884,90</w:t>
      </w:r>
      <w:r w:rsidR="00C17653">
        <w:t xml:space="preserve"> </w:t>
      </w:r>
      <w:r>
        <w:t xml:space="preserve"> руб.</w:t>
      </w:r>
    </w:p>
    <w:p w:rsidR="00C17653" w:rsidRPr="00FD752A" w:rsidRDefault="00FB7790" w:rsidP="00C17653">
      <w:pPr>
        <w:tabs>
          <w:tab w:val="left" w:pos="720"/>
        </w:tabs>
        <w:ind w:right="140" w:firstLine="851"/>
        <w:contextualSpacing/>
        <w:jc w:val="both"/>
      </w:pPr>
      <w:r w:rsidRPr="0010007B">
        <w:t>14.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  <w:r>
        <w:t>15</w:t>
      </w:r>
      <w:r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03" w:rsidRDefault="004E2803">
      <w:r>
        <w:separator/>
      </w:r>
    </w:p>
  </w:endnote>
  <w:endnote w:type="continuationSeparator" w:id="1">
    <w:p w:rsidR="004E2803" w:rsidRDefault="004E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03" w:rsidRDefault="004E2803">
      <w:r>
        <w:separator/>
      </w:r>
    </w:p>
  </w:footnote>
  <w:footnote w:type="continuationSeparator" w:id="1">
    <w:p w:rsidR="004E2803" w:rsidRDefault="004E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731DE2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10007B"/>
    <w:rsid w:val="0013572E"/>
    <w:rsid w:val="001412CD"/>
    <w:rsid w:val="00157EFF"/>
    <w:rsid w:val="00164BAF"/>
    <w:rsid w:val="001A1C23"/>
    <w:rsid w:val="001C4A76"/>
    <w:rsid w:val="001C59EF"/>
    <w:rsid w:val="001E0C7D"/>
    <w:rsid w:val="001F04CC"/>
    <w:rsid w:val="001F2CF2"/>
    <w:rsid w:val="0024430F"/>
    <w:rsid w:val="002C4F9B"/>
    <w:rsid w:val="00307DBA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697B"/>
    <w:rsid w:val="00446B80"/>
    <w:rsid w:val="004E2803"/>
    <w:rsid w:val="004E4C16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A2D4E"/>
    <w:rsid w:val="006B0502"/>
    <w:rsid w:val="006D3350"/>
    <w:rsid w:val="006E7587"/>
    <w:rsid w:val="00702115"/>
    <w:rsid w:val="00731DE2"/>
    <w:rsid w:val="0074388D"/>
    <w:rsid w:val="00775006"/>
    <w:rsid w:val="007949DE"/>
    <w:rsid w:val="007E2214"/>
    <w:rsid w:val="008173ED"/>
    <w:rsid w:val="00831C87"/>
    <w:rsid w:val="00844340"/>
    <w:rsid w:val="00860500"/>
    <w:rsid w:val="00880D74"/>
    <w:rsid w:val="008944E7"/>
    <w:rsid w:val="00897B08"/>
    <w:rsid w:val="008A2E73"/>
    <w:rsid w:val="008B0069"/>
    <w:rsid w:val="008B7074"/>
    <w:rsid w:val="008D2C71"/>
    <w:rsid w:val="008F125C"/>
    <w:rsid w:val="009021F4"/>
    <w:rsid w:val="00904D50"/>
    <w:rsid w:val="00921EB2"/>
    <w:rsid w:val="00952CEF"/>
    <w:rsid w:val="00983400"/>
    <w:rsid w:val="00997ABA"/>
    <w:rsid w:val="009A6050"/>
    <w:rsid w:val="009C62B0"/>
    <w:rsid w:val="009E605A"/>
    <w:rsid w:val="00A158ED"/>
    <w:rsid w:val="00A15A62"/>
    <w:rsid w:val="00A259FA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A6A62"/>
    <w:rsid w:val="00C02658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31D9"/>
    <w:rsid w:val="00D9078B"/>
    <w:rsid w:val="00D9144A"/>
    <w:rsid w:val="00E04C5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7</cp:revision>
  <cp:lastPrinted>2015-11-23T15:27:00Z</cp:lastPrinted>
  <dcterms:created xsi:type="dcterms:W3CDTF">2015-11-23T15:18:00Z</dcterms:created>
  <dcterms:modified xsi:type="dcterms:W3CDTF">2016-11-15T12:59:00Z</dcterms:modified>
</cp:coreProperties>
</file>