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80" w:rsidRPr="001E18B4" w:rsidRDefault="004D1380" w:rsidP="001E18B4">
      <w:pPr>
        <w:jc w:val="center"/>
        <w:rPr>
          <w:b/>
        </w:rPr>
      </w:pPr>
      <w:r w:rsidRPr="001E18B4">
        <w:rPr>
          <w:b/>
        </w:rPr>
        <w:t>ПОЯСНИТЕЛЬНАЯ ЗАПИСКА</w:t>
      </w:r>
    </w:p>
    <w:p w:rsidR="00E43DE9" w:rsidRPr="001E18B4" w:rsidRDefault="004D1380" w:rsidP="001E18B4">
      <w:pPr>
        <w:jc w:val="center"/>
        <w:rPr>
          <w:b/>
        </w:rPr>
      </w:pPr>
      <w:r w:rsidRPr="001E18B4">
        <w:rPr>
          <w:b/>
        </w:rPr>
        <w:t xml:space="preserve">к Проекту Решения Совета депутатов </w:t>
      </w:r>
      <w:r w:rsidR="00E43DE9" w:rsidRPr="001E18B4">
        <w:rPr>
          <w:b/>
        </w:rPr>
        <w:t xml:space="preserve">городского поселения Печенга </w:t>
      </w:r>
      <w:r w:rsidR="009D776B">
        <w:rPr>
          <w:b/>
        </w:rPr>
        <w:t>«</w:t>
      </w:r>
      <w:r w:rsidR="0013567C">
        <w:rPr>
          <w:b/>
        </w:rPr>
        <w:t xml:space="preserve">О внесении изменений в решение Совета депутатов от 16.12.2016 №198 </w:t>
      </w:r>
      <w:r w:rsidR="00E43DE9" w:rsidRPr="001E18B4">
        <w:rPr>
          <w:b/>
        </w:rPr>
        <w:t>«Об утверждении бюджета муниципального образования городское поселение Печенга на 201</w:t>
      </w:r>
      <w:r w:rsidR="00FC578B">
        <w:rPr>
          <w:b/>
        </w:rPr>
        <w:t>7</w:t>
      </w:r>
      <w:r w:rsidR="006600D5" w:rsidRPr="001E18B4">
        <w:rPr>
          <w:b/>
        </w:rPr>
        <w:t xml:space="preserve"> </w:t>
      </w:r>
      <w:r w:rsidR="00E43DE9" w:rsidRPr="001E18B4">
        <w:rPr>
          <w:b/>
        </w:rPr>
        <w:t>год»</w:t>
      </w:r>
      <w:r w:rsidR="009D776B">
        <w:rPr>
          <w:b/>
        </w:rPr>
        <w:t>»</w:t>
      </w:r>
    </w:p>
    <w:p w:rsidR="00BD6E87" w:rsidRPr="007F0749" w:rsidRDefault="00E43DE9" w:rsidP="001E18B4">
      <w:pPr>
        <w:jc w:val="center"/>
        <w:rPr>
          <w:b/>
        </w:rPr>
      </w:pPr>
      <w:r w:rsidRPr="007F0749">
        <w:rPr>
          <w:b/>
        </w:rPr>
        <w:t xml:space="preserve"> </w:t>
      </w:r>
    </w:p>
    <w:p w:rsidR="0013567C" w:rsidRPr="001E18B4" w:rsidRDefault="004D1380" w:rsidP="0013567C">
      <w:pPr>
        <w:autoSpaceDE w:val="0"/>
        <w:autoSpaceDN w:val="0"/>
        <w:adjustRightInd w:val="0"/>
        <w:ind w:firstLine="567"/>
        <w:jc w:val="both"/>
      </w:pPr>
      <w:r w:rsidRPr="007F0749">
        <w:t xml:space="preserve"> Проект бюджета </w:t>
      </w:r>
      <w:r w:rsidR="00757028" w:rsidRPr="007F0749">
        <w:t>городско</w:t>
      </w:r>
      <w:r w:rsidR="00580AB3" w:rsidRPr="007F0749">
        <w:t>го</w:t>
      </w:r>
      <w:r w:rsidR="00757028" w:rsidRPr="007F0749">
        <w:t xml:space="preserve"> поселени</w:t>
      </w:r>
      <w:r w:rsidR="00580AB3" w:rsidRPr="007F0749">
        <w:t>я</w:t>
      </w:r>
      <w:r w:rsidR="00757028" w:rsidRPr="007F0749">
        <w:t xml:space="preserve"> Печенга</w:t>
      </w:r>
    </w:p>
    <w:p w:rsidR="004D1380" w:rsidRPr="001E18B4" w:rsidRDefault="004D1380" w:rsidP="001E18B4">
      <w:pPr>
        <w:tabs>
          <w:tab w:val="left" w:pos="720"/>
        </w:tabs>
        <w:ind w:firstLine="567"/>
        <w:jc w:val="both"/>
      </w:pPr>
    </w:p>
    <w:p w:rsidR="000339CE" w:rsidRPr="001E18B4" w:rsidRDefault="000339CE" w:rsidP="001E18B4">
      <w:pPr>
        <w:tabs>
          <w:tab w:val="left" w:pos="1418"/>
        </w:tabs>
        <w:ind w:firstLine="567"/>
        <w:contextualSpacing/>
        <w:jc w:val="both"/>
      </w:pPr>
      <w:r w:rsidRPr="001E18B4">
        <w:t xml:space="preserve">общий объем доходов бюджета в сумме </w:t>
      </w:r>
      <w:r w:rsidR="0013567C">
        <w:t>63902409,79</w:t>
      </w:r>
      <w:r w:rsidRPr="001E18B4">
        <w:t xml:space="preserve"> руб.;</w:t>
      </w:r>
    </w:p>
    <w:p w:rsidR="000339CE" w:rsidRPr="001E18B4" w:rsidRDefault="000339CE" w:rsidP="001E18B4">
      <w:pPr>
        <w:tabs>
          <w:tab w:val="left" w:pos="1418"/>
        </w:tabs>
        <w:ind w:firstLine="567"/>
        <w:contextualSpacing/>
        <w:jc w:val="both"/>
      </w:pPr>
      <w:r w:rsidRPr="001E18B4">
        <w:t xml:space="preserve">общий объем расходов бюджета  в сумме </w:t>
      </w:r>
      <w:r w:rsidR="0013567C">
        <w:t>69 550 758,61</w:t>
      </w:r>
      <w:r w:rsidRPr="001E18B4">
        <w:t xml:space="preserve"> руб.;</w:t>
      </w:r>
    </w:p>
    <w:p w:rsidR="000339CE" w:rsidRPr="001E18B4" w:rsidRDefault="000339CE" w:rsidP="001E18B4">
      <w:pPr>
        <w:ind w:firstLine="567"/>
        <w:contextualSpacing/>
        <w:jc w:val="both"/>
        <w:rPr>
          <w:iCs/>
        </w:rPr>
      </w:pPr>
      <w:r w:rsidRPr="001E18B4">
        <w:rPr>
          <w:iCs/>
        </w:rPr>
        <w:t xml:space="preserve">дефицит бюджета в сумме </w:t>
      </w:r>
      <w:r w:rsidR="0013567C">
        <w:rPr>
          <w:iCs/>
        </w:rPr>
        <w:t>5 648 348,82</w:t>
      </w:r>
      <w:r w:rsidRPr="001E18B4">
        <w:t xml:space="preserve"> руб</w:t>
      </w:r>
      <w:r w:rsidRPr="001E18B4">
        <w:rPr>
          <w:iCs/>
        </w:rPr>
        <w:t>.</w:t>
      </w:r>
    </w:p>
    <w:p w:rsidR="004D1380" w:rsidRPr="001E18B4" w:rsidRDefault="004D1380" w:rsidP="001E18B4">
      <w:pPr>
        <w:tabs>
          <w:tab w:val="left" w:pos="720"/>
        </w:tabs>
        <w:jc w:val="both"/>
      </w:pPr>
    </w:p>
    <w:p w:rsidR="004D1380" w:rsidRPr="001E18B4" w:rsidRDefault="004D1380" w:rsidP="001E18B4">
      <w:pPr>
        <w:tabs>
          <w:tab w:val="left" w:pos="720"/>
        </w:tabs>
        <w:jc w:val="center"/>
        <w:rPr>
          <w:b/>
        </w:rPr>
      </w:pPr>
      <w:r w:rsidRPr="001E18B4">
        <w:rPr>
          <w:b/>
        </w:rPr>
        <w:t>1.ДОХОДЫ</w:t>
      </w:r>
    </w:p>
    <w:p w:rsidR="004D1380" w:rsidRDefault="004D1380" w:rsidP="001E18B4">
      <w:pPr>
        <w:tabs>
          <w:tab w:val="left" w:pos="720"/>
        </w:tabs>
        <w:ind w:firstLine="567"/>
        <w:jc w:val="both"/>
      </w:pPr>
      <w:r w:rsidRPr="001E18B4">
        <w:t>Прогноз доходной части бюджета на 20</w:t>
      </w:r>
      <w:r w:rsidR="008B60D6" w:rsidRPr="001E18B4">
        <w:t>1</w:t>
      </w:r>
      <w:r w:rsidR="007F0749">
        <w:t>7</w:t>
      </w:r>
      <w:r w:rsidRPr="001E18B4">
        <w:t xml:space="preserve"> год оценивается, исходя из ожидаемого   поступления налогов и других обязательных платежей в 20</w:t>
      </w:r>
      <w:r w:rsidR="008B60D6" w:rsidRPr="001E18B4">
        <w:t>1</w:t>
      </w:r>
      <w:r w:rsidR="007F0749">
        <w:t>7</w:t>
      </w:r>
      <w:r w:rsidRPr="001E18B4">
        <w:t xml:space="preserve"> году, данных информационного ресурса «Расчеты с бюджетом», предоставляемых   </w:t>
      </w:r>
      <w:r w:rsidR="000339CE" w:rsidRPr="001E18B4">
        <w:t xml:space="preserve">Межрайонной </w:t>
      </w:r>
      <w:r w:rsidRPr="001E18B4">
        <w:t xml:space="preserve">ИФНС России </w:t>
      </w:r>
      <w:r w:rsidR="000339CE" w:rsidRPr="001E18B4">
        <w:t xml:space="preserve">№ 7 </w:t>
      </w:r>
      <w:r w:rsidRPr="001E18B4">
        <w:t xml:space="preserve">по </w:t>
      </w:r>
      <w:r w:rsidR="000339CE" w:rsidRPr="001E18B4">
        <w:t>Мурманской области</w:t>
      </w:r>
      <w:r w:rsidRPr="001E18B4">
        <w:t>.</w:t>
      </w:r>
    </w:p>
    <w:p w:rsidR="00913555" w:rsidRPr="001E18B4" w:rsidRDefault="00913555" w:rsidP="001E18B4">
      <w:pPr>
        <w:tabs>
          <w:tab w:val="left" w:pos="720"/>
        </w:tabs>
        <w:ind w:firstLine="567"/>
        <w:jc w:val="both"/>
      </w:pPr>
      <w:r>
        <w:t>Увеличение в части налоговых доходов на 3 628 197,89 (прогноз)</w:t>
      </w:r>
    </w:p>
    <w:p w:rsidR="00913555" w:rsidRDefault="00913555" w:rsidP="00913555">
      <w:pPr>
        <w:pStyle w:val="2"/>
        <w:ind w:firstLine="567"/>
        <w:rPr>
          <w:b/>
          <w:sz w:val="28"/>
          <w:szCs w:val="28"/>
        </w:rPr>
      </w:pPr>
    </w:p>
    <w:p w:rsidR="00C74658" w:rsidRPr="00913555" w:rsidRDefault="00913555" w:rsidP="00913555">
      <w:pPr>
        <w:pStyle w:val="2"/>
        <w:ind w:firstLine="567"/>
        <w:rPr>
          <w:b/>
          <w:sz w:val="28"/>
          <w:szCs w:val="28"/>
        </w:rPr>
      </w:pPr>
      <w:r>
        <w:rPr>
          <w:b/>
          <w:sz w:val="28"/>
          <w:szCs w:val="28"/>
        </w:rPr>
        <w:t>2. Расходы</w:t>
      </w:r>
    </w:p>
    <w:p w:rsidR="00913555" w:rsidRDefault="00913555" w:rsidP="00913555">
      <w:pPr>
        <w:ind w:firstLine="720"/>
        <w:jc w:val="both"/>
      </w:pPr>
      <w:r>
        <w:t>1. Изменения по виду расходов с 200 «Закупка товаров, работ и услуг для обеспечения</w:t>
      </w:r>
    </w:p>
    <w:p w:rsidR="00C74658" w:rsidRDefault="00913555" w:rsidP="00913555">
      <w:pPr>
        <w:ind w:firstLine="720"/>
        <w:jc w:val="both"/>
      </w:pPr>
      <w:r>
        <w:t xml:space="preserve">государственных (муниципальных) нужд»  на 300 </w:t>
      </w:r>
      <w:r w:rsidRPr="00913555">
        <w:t>"Социальное обеспечение и иные выплаты населению"</w:t>
      </w:r>
    </w:p>
    <w:p w:rsidR="00913555" w:rsidRDefault="00913555" w:rsidP="00913555">
      <w:pPr>
        <w:ind w:firstLine="720"/>
        <w:jc w:val="both"/>
      </w:pPr>
      <w:r>
        <w:t xml:space="preserve">2. </w:t>
      </w:r>
      <w:proofErr w:type="gramStart"/>
      <w:r>
        <w:t xml:space="preserve">Увеличили расходы на </w:t>
      </w:r>
      <w:r w:rsidRPr="00913555">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r>
        <w:t xml:space="preserve"> 3 996 руб.</w:t>
      </w:r>
      <w:proofErr w:type="gramEnd"/>
    </w:p>
    <w:p w:rsidR="00913555" w:rsidRDefault="00913555" w:rsidP="00913555">
      <w:pPr>
        <w:ind w:firstLine="720"/>
        <w:jc w:val="both"/>
      </w:pPr>
      <w:r>
        <w:t>3. Увеличились расходы на содержание ЕДДС на 17 082,51 рубль</w:t>
      </w:r>
    </w:p>
    <w:p w:rsidR="00913555" w:rsidRDefault="00913555" w:rsidP="00913555">
      <w:pPr>
        <w:ind w:firstLine="720"/>
        <w:jc w:val="both"/>
      </w:pPr>
      <w:r>
        <w:t>4. Увеличение расходов на погашение кредиторской задолженности МКП «Жилищное хозяйство» 2 000 000,00 руб.</w:t>
      </w:r>
    </w:p>
    <w:p w:rsidR="00913555" w:rsidRDefault="00913555" w:rsidP="00913555">
      <w:pPr>
        <w:ind w:firstLine="720"/>
        <w:jc w:val="both"/>
      </w:pPr>
      <w:r>
        <w:t xml:space="preserve">5. Увеличение расходов на компенсационные выплаты по </w:t>
      </w:r>
      <w:proofErr w:type="gramStart"/>
      <w:r>
        <w:t>мед осмотрам</w:t>
      </w:r>
      <w:proofErr w:type="gramEnd"/>
      <w:r>
        <w:t xml:space="preserve"> на 22 000,00 руб.</w:t>
      </w:r>
    </w:p>
    <w:p w:rsidR="00913555" w:rsidRDefault="00913555" w:rsidP="00913555">
      <w:pPr>
        <w:ind w:firstLine="720"/>
        <w:jc w:val="both"/>
      </w:pPr>
      <w:r>
        <w:t>6. Увеличение расходов на ремонт ГДО на 4 706 063,85 руб.</w:t>
      </w:r>
    </w:p>
    <w:p w:rsidR="00913555" w:rsidRDefault="00913555" w:rsidP="00913555">
      <w:pPr>
        <w:ind w:firstLine="720"/>
        <w:jc w:val="both"/>
      </w:pPr>
      <w:r>
        <w:t xml:space="preserve">7. Увеличились расходы на поверку </w:t>
      </w:r>
      <w:proofErr w:type="spellStart"/>
      <w:r>
        <w:t>общедомовых</w:t>
      </w:r>
      <w:proofErr w:type="spellEnd"/>
      <w:r>
        <w:t xml:space="preserve"> приборов учета на 100 000 руб.</w:t>
      </w:r>
    </w:p>
    <w:p w:rsidR="00913555" w:rsidRDefault="00913555" w:rsidP="00913555">
      <w:pPr>
        <w:ind w:firstLine="720"/>
        <w:jc w:val="both"/>
      </w:pPr>
      <w:r>
        <w:t>8. Увеличились расходы на  возмещение затрат граждан на поверку приборов учета на 100 000,00 руб.</w:t>
      </w:r>
    </w:p>
    <w:p w:rsidR="00913555" w:rsidRPr="001E18B4" w:rsidRDefault="00913555" w:rsidP="00913555">
      <w:pPr>
        <w:ind w:firstLine="720"/>
        <w:jc w:val="both"/>
      </w:pPr>
      <w:r>
        <w:t xml:space="preserve">9. Увеличились расходы на проект реконструкции </w:t>
      </w:r>
      <w:r w:rsidR="00A02936">
        <w:t>подъезда</w:t>
      </w:r>
      <w:r>
        <w:t xml:space="preserve"> </w:t>
      </w:r>
      <w:r w:rsidR="00A02936">
        <w:t>№5 на 250 000,00 руб.</w:t>
      </w:r>
    </w:p>
    <w:p w:rsidR="00C74658" w:rsidRDefault="0056300F" w:rsidP="00404AA2">
      <w:pPr>
        <w:ind w:firstLine="720"/>
        <w:jc w:val="both"/>
      </w:pPr>
      <w:r>
        <w:t xml:space="preserve"> Общее увеличение расходов на 6 432 556,25</w:t>
      </w:r>
    </w:p>
    <w:p w:rsidR="00CC03F3" w:rsidRPr="00CC03F3" w:rsidRDefault="00CC03F3" w:rsidP="00CC03F3">
      <w:pPr>
        <w:shd w:val="clear" w:color="auto" w:fill="FFFFFF"/>
        <w:spacing w:line="345" w:lineRule="atLeast"/>
        <w:ind w:firstLine="708"/>
        <w:jc w:val="both"/>
        <w:rPr>
          <w:color w:val="333333"/>
        </w:rPr>
      </w:pPr>
      <w:r>
        <w:t>10. Изменился вид расходов по  основному мероприятию</w:t>
      </w:r>
      <w:r w:rsidRPr="00CC03F3">
        <w:t xml:space="preserve"> 2. Обеспечение содержания улично-дорожной сети и автомобильных дорог местного значения МО г.п. Печенга</w:t>
      </w:r>
      <w:r>
        <w:t xml:space="preserve"> с 400</w:t>
      </w:r>
      <w:r w:rsidRPr="00CC03F3">
        <w:rPr>
          <w:rFonts w:ascii="Arial" w:hAnsi="Arial" w:cs="Arial"/>
          <w:color w:val="333333"/>
        </w:rPr>
        <w:t xml:space="preserve"> </w:t>
      </w:r>
      <w:r>
        <w:rPr>
          <w:rFonts w:ascii="Arial" w:hAnsi="Arial" w:cs="Arial"/>
          <w:color w:val="333333"/>
        </w:rPr>
        <w:t>«</w:t>
      </w:r>
      <w:r>
        <w:rPr>
          <w:rStyle w:val="blk"/>
          <w:color w:val="333333"/>
        </w:rPr>
        <w:t xml:space="preserve">Капитальные </w:t>
      </w:r>
      <w:r w:rsidRPr="00CC03F3">
        <w:rPr>
          <w:rStyle w:val="blk"/>
          <w:color w:val="333333"/>
        </w:rPr>
        <w:t>вложения в объекты государственно</w:t>
      </w:r>
      <w:proofErr w:type="gramStart"/>
      <w:r w:rsidRPr="00CC03F3">
        <w:rPr>
          <w:rStyle w:val="blk"/>
          <w:color w:val="333333"/>
        </w:rPr>
        <w:t>й(</w:t>
      </w:r>
      <w:proofErr w:type="gramEnd"/>
      <w:r w:rsidRPr="00CC03F3">
        <w:rPr>
          <w:rStyle w:val="blk"/>
          <w:color w:val="333333"/>
        </w:rPr>
        <w:t>муниципальной) собственности</w:t>
      </w:r>
      <w:r>
        <w:rPr>
          <w:rStyle w:val="blk"/>
          <w:color w:val="333333"/>
        </w:rPr>
        <w:t>»</w:t>
      </w:r>
      <w:r>
        <w:rPr>
          <w:color w:val="333333"/>
        </w:rPr>
        <w:t xml:space="preserve"> </w:t>
      </w:r>
      <w:r>
        <w:t>на 200 «Закупка товаров, работ и услуг для обеспечения государственных (муниципальных) нужд»</w:t>
      </w:r>
    </w:p>
    <w:p w:rsidR="0056300F" w:rsidRDefault="0056300F" w:rsidP="00404AA2">
      <w:pPr>
        <w:ind w:firstLine="720"/>
        <w:jc w:val="both"/>
      </w:pPr>
    </w:p>
    <w:p w:rsidR="0056300F" w:rsidRDefault="0056300F" w:rsidP="0056300F">
      <w:pPr>
        <w:ind w:firstLine="720"/>
        <w:jc w:val="center"/>
        <w:rPr>
          <w:b/>
          <w:sz w:val="28"/>
          <w:szCs w:val="28"/>
        </w:rPr>
      </w:pPr>
      <w:r>
        <w:rPr>
          <w:b/>
          <w:sz w:val="28"/>
          <w:szCs w:val="28"/>
        </w:rPr>
        <w:t>3. Источники финансирования дефицита бюджета</w:t>
      </w:r>
    </w:p>
    <w:p w:rsidR="0056300F" w:rsidRPr="0056300F" w:rsidRDefault="0056300F" w:rsidP="0056300F">
      <w:pPr>
        <w:ind w:firstLine="720"/>
      </w:pPr>
      <w:r w:rsidRPr="0056300F">
        <w:t xml:space="preserve">Общий объем источников составил 5 648 348,82 за счет остатков средств бюджета на 01.01.2017 года </w:t>
      </w:r>
    </w:p>
    <w:p w:rsidR="00C74658" w:rsidRPr="001E18B4" w:rsidRDefault="00C74658" w:rsidP="00404AA2">
      <w:pPr>
        <w:ind w:firstLine="720"/>
        <w:jc w:val="both"/>
      </w:pPr>
    </w:p>
    <w:p w:rsidR="007F4435" w:rsidRPr="001E18B4" w:rsidRDefault="00137EC7" w:rsidP="007F4435">
      <w:pPr>
        <w:jc w:val="both"/>
        <w:rPr>
          <w:b/>
        </w:rPr>
      </w:pPr>
      <w:r w:rsidRPr="001E18B4">
        <w:rPr>
          <w:b/>
        </w:rPr>
        <w:t xml:space="preserve">Начальник финансового отдела </w:t>
      </w:r>
    </w:p>
    <w:p w:rsidR="00C74658" w:rsidRPr="001E18B4" w:rsidRDefault="007F4435" w:rsidP="007F4435">
      <w:pPr>
        <w:jc w:val="both"/>
        <w:rPr>
          <w:b/>
        </w:rPr>
      </w:pPr>
      <w:r w:rsidRPr="001E18B4">
        <w:rPr>
          <w:b/>
        </w:rPr>
        <w:t>администрации городского поселения Печенга</w:t>
      </w:r>
      <w:r w:rsidR="00137EC7" w:rsidRPr="001E18B4">
        <w:rPr>
          <w:b/>
        </w:rPr>
        <w:t xml:space="preserve">               </w:t>
      </w:r>
      <w:r w:rsidRPr="001E18B4">
        <w:rPr>
          <w:b/>
        </w:rPr>
        <w:t xml:space="preserve">  </w:t>
      </w:r>
      <w:r w:rsidR="00137EC7" w:rsidRPr="001E18B4">
        <w:rPr>
          <w:b/>
        </w:rPr>
        <w:t xml:space="preserve">           </w:t>
      </w:r>
      <w:r w:rsidR="001E18B4">
        <w:rPr>
          <w:b/>
        </w:rPr>
        <w:t xml:space="preserve">            </w:t>
      </w:r>
      <w:r w:rsidR="00137EC7" w:rsidRPr="001E18B4">
        <w:rPr>
          <w:b/>
        </w:rPr>
        <w:t xml:space="preserve">           </w:t>
      </w:r>
      <w:proofErr w:type="spellStart"/>
      <w:r w:rsidR="0060027C">
        <w:rPr>
          <w:b/>
        </w:rPr>
        <w:t>О.И.Бамбул</w:t>
      </w:r>
      <w:proofErr w:type="spellEnd"/>
    </w:p>
    <w:sectPr w:rsidR="00C74658" w:rsidRPr="001E18B4" w:rsidSect="001E18B4">
      <w:pgSz w:w="11906" w:h="16838"/>
      <w:pgMar w:top="568"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74AE8"/>
    <w:multiLevelType w:val="hybridMultilevel"/>
    <w:tmpl w:val="ED42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F24443"/>
    <w:multiLevelType w:val="hybridMultilevel"/>
    <w:tmpl w:val="1FDECAC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59155398"/>
    <w:multiLevelType w:val="hybridMultilevel"/>
    <w:tmpl w:val="496C22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404AA2"/>
    <w:rsid w:val="00005231"/>
    <w:rsid w:val="00025AD7"/>
    <w:rsid w:val="00031D8C"/>
    <w:rsid w:val="000339CE"/>
    <w:rsid w:val="000A26E8"/>
    <w:rsid w:val="000D3A6B"/>
    <w:rsid w:val="000D4ECB"/>
    <w:rsid w:val="000E2FE9"/>
    <w:rsid w:val="000F03FE"/>
    <w:rsid w:val="000F4FF7"/>
    <w:rsid w:val="0013567C"/>
    <w:rsid w:val="00137EC7"/>
    <w:rsid w:val="00163798"/>
    <w:rsid w:val="001A6A58"/>
    <w:rsid w:val="001C35CA"/>
    <w:rsid w:val="001E18B4"/>
    <w:rsid w:val="001F156B"/>
    <w:rsid w:val="00240511"/>
    <w:rsid w:val="00264624"/>
    <w:rsid w:val="00277655"/>
    <w:rsid w:val="0028763E"/>
    <w:rsid w:val="002C550A"/>
    <w:rsid w:val="002D2BC0"/>
    <w:rsid w:val="002D3919"/>
    <w:rsid w:val="002D5682"/>
    <w:rsid w:val="002D7324"/>
    <w:rsid w:val="0030320F"/>
    <w:rsid w:val="0034124F"/>
    <w:rsid w:val="003B4ABF"/>
    <w:rsid w:val="003E5390"/>
    <w:rsid w:val="003F40D8"/>
    <w:rsid w:val="00404AA2"/>
    <w:rsid w:val="00432E31"/>
    <w:rsid w:val="0044230A"/>
    <w:rsid w:val="00462277"/>
    <w:rsid w:val="00490765"/>
    <w:rsid w:val="004B0FCC"/>
    <w:rsid w:val="004D1380"/>
    <w:rsid w:val="004E03A2"/>
    <w:rsid w:val="0056300F"/>
    <w:rsid w:val="00580AB3"/>
    <w:rsid w:val="00583B9F"/>
    <w:rsid w:val="005A5518"/>
    <w:rsid w:val="005B781E"/>
    <w:rsid w:val="005C0A28"/>
    <w:rsid w:val="0060027C"/>
    <w:rsid w:val="00611C0A"/>
    <w:rsid w:val="00634965"/>
    <w:rsid w:val="006600D5"/>
    <w:rsid w:val="00663D1D"/>
    <w:rsid w:val="00690C0A"/>
    <w:rsid w:val="006A2CA8"/>
    <w:rsid w:val="006A3EBC"/>
    <w:rsid w:val="006C60CF"/>
    <w:rsid w:val="0070436A"/>
    <w:rsid w:val="0072005C"/>
    <w:rsid w:val="00757028"/>
    <w:rsid w:val="007724D7"/>
    <w:rsid w:val="00792A79"/>
    <w:rsid w:val="007D5528"/>
    <w:rsid w:val="007D65B9"/>
    <w:rsid w:val="007F0749"/>
    <w:rsid w:val="007F4435"/>
    <w:rsid w:val="00803B42"/>
    <w:rsid w:val="00806E0C"/>
    <w:rsid w:val="00815E16"/>
    <w:rsid w:val="00874F37"/>
    <w:rsid w:val="008A1C0E"/>
    <w:rsid w:val="008B60D6"/>
    <w:rsid w:val="00913555"/>
    <w:rsid w:val="009270BB"/>
    <w:rsid w:val="00955478"/>
    <w:rsid w:val="009730E9"/>
    <w:rsid w:val="009761E5"/>
    <w:rsid w:val="009952D5"/>
    <w:rsid w:val="009A0B38"/>
    <w:rsid w:val="009C1578"/>
    <w:rsid w:val="009D776B"/>
    <w:rsid w:val="009F069E"/>
    <w:rsid w:val="009F1D9A"/>
    <w:rsid w:val="00A01322"/>
    <w:rsid w:val="00A02936"/>
    <w:rsid w:val="00A10D21"/>
    <w:rsid w:val="00A45095"/>
    <w:rsid w:val="00A54DF9"/>
    <w:rsid w:val="00A54ECE"/>
    <w:rsid w:val="00A56C35"/>
    <w:rsid w:val="00A81784"/>
    <w:rsid w:val="00A91C3F"/>
    <w:rsid w:val="00A945FE"/>
    <w:rsid w:val="00AA71B6"/>
    <w:rsid w:val="00AA77EE"/>
    <w:rsid w:val="00AD322B"/>
    <w:rsid w:val="00AF1FF4"/>
    <w:rsid w:val="00B23561"/>
    <w:rsid w:val="00B23A13"/>
    <w:rsid w:val="00B46EAA"/>
    <w:rsid w:val="00B527D9"/>
    <w:rsid w:val="00B64645"/>
    <w:rsid w:val="00B71A05"/>
    <w:rsid w:val="00B9621C"/>
    <w:rsid w:val="00BB551D"/>
    <w:rsid w:val="00BC6FE0"/>
    <w:rsid w:val="00BD1ABE"/>
    <w:rsid w:val="00BD5666"/>
    <w:rsid w:val="00BD61B0"/>
    <w:rsid w:val="00BD6E87"/>
    <w:rsid w:val="00C10CF1"/>
    <w:rsid w:val="00C26F87"/>
    <w:rsid w:val="00C3042D"/>
    <w:rsid w:val="00C52D98"/>
    <w:rsid w:val="00C601FA"/>
    <w:rsid w:val="00C637BE"/>
    <w:rsid w:val="00C71DAD"/>
    <w:rsid w:val="00C74658"/>
    <w:rsid w:val="00C87E6A"/>
    <w:rsid w:val="00C92A90"/>
    <w:rsid w:val="00CB4AC4"/>
    <w:rsid w:val="00CC03F3"/>
    <w:rsid w:val="00D56C8D"/>
    <w:rsid w:val="00D73B6E"/>
    <w:rsid w:val="00D804B0"/>
    <w:rsid w:val="00DA3171"/>
    <w:rsid w:val="00E16064"/>
    <w:rsid w:val="00E210BB"/>
    <w:rsid w:val="00E211BA"/>
    <w:rsid w:val="00E30729"/>
    <w:rsid w:val="00E37ECC"/>
    <w:rsid w:val="00E43DE9"/>
    <w:rsid w:val="00E53E7D"/>
    <w:rsid w:val="00EA2682"/>
    <w:rsid w:val="00ED2DC3"/>
    <w:rsid w:val="00EF7B46"/>
    <w:rsid w:val="00F00B6D"/>
    <w:rsid w:val="00F204E3"/>
    <w:rsid w:val="00F26C3E"/>
    <w:rsid w:val="00F36889"/>
    <w:rsid w:val="00F46082"/>
    <w:rsid w:val="00F50974"/>
    <w:rsid w:val="00F72BE5"/>
    <w:rsid w:val="00FC578B"/>
    <w:rsid w:val="00FC6C81"/>
    <w:rsid w:val="00FD1CE0"/>
    <w:rsid w:val="00FE1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AA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9730E9"/>
    <w:pPr>
      <w:ind w:right="-2"/>
      <w:jc w:val="center"/>
    </w:pPr>
    <w:rPr>
      <w:sz w:val="20"/>
      <w:szCs w:val="20"/>
    </w:rPr>
  </w:style>
  <w:style w:type="table" w:styleId="a3">
    <w:name w:val="Table Grid"/>
    <w:basedOn w:val="a1"/>
    <w:rsid w:val="004D1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F1FF4"/>
    <w:pPr>
      <w:widowControl w:val="0"/>
      <w:autoSpaceDE w:val="0"/>
      <w:autoSpaceDN w:val="0"/>
      <w:adjustRightInd w:val="0"/>
    </w:pPr>
    <w:rPr>
      <w:rFonts w:ascii="Calibri" w:hAnsi="Calibri" w:cs="Calibri"/>
      <w:b/>
      <w:bCs/>
      <w:sz w:val="22"/>
      <w:szCs w:val="22"/>
    </w:rPr>
  </w:style>
  <w:style w:type="character" w:customStyle="1" w:styleId="blk">
    <w:name w:val="blk"/>
    <w:basedOn w:val="a0"/>
    <w:rsid w:val="00CC03F3"/>
  </w:style>
</w:styles>
</file>

<file path=word/webSettings.xml><?xml version="1.0" encoding="utf-8"?>
<w:webSettings xmlns:r="http://schemas.openxmlformats.org/officeDocument/2006/relationships" xmlns:w="http://schemas.openxmlformats.org/wordprocessingml/2006/main">
  <w:divs>
    <w:div w:id="28192308">
      <w:bodyDiv w:val="1"/>
      <w:marLeft w:val="0"/>
      <w:marRight w:val="0"/>
      <w:marTop w:val="0"/>
      <w:marBottom w:val="0"/>
      <w:divBdr>
        <w:top w:val="none" w:sz="0" w:space="0" w:color="auto"/>
        <w:left w:val="none" w:sz="0" w:space="0" w:color="auto"/>
        <w:bottom w:val="none" w:sz="0" w:space="0" w:color="auto"/>
        <w:right w:val="none" w:sz="0" w:space="0" w:color="auto"/>
      </w:divBdr>
    </w:div>
    <w:div w:id="68579022">
      <w:bodyDiv w:val="1"/>
      <w:marLeft w:val="0"/>
      <w:marRight w:val="0"/>
      <w:marTop w:val="0"/>
      <w:marBottom w:val="0"/>
      <w:divBdr>
        <w:top w:val="none" w:sz="0" w:space="0" w:color="auto"/>
        <w:left w:val="none" w:sz="0" w:space="0" w:color="auto"/>
        <w:bottom w:val="none" w:sz="0" w:space="0" w:color="auto"/>
        <w:right w:val="none" w:sz="0" w:space="0" w:color="auto"/>
      </w:divBdr>
    </w:div>
    <w:div w:id="953055504">
      <w:bodyDiv w:val="1"/>
      <w:marLeft w:val="0"/>
      <w:marRight w:val="0"/>
      <w:marTop w:val="0"/>
      <w:marBottom w:val="0"/>
      <w:divBdr>
        <w:top w:val="none" w:sz="0" w:space="0" w:color="auto"/>
        <w:left w:val="none" w:sz="0" w:space="0" w:color="auto"/>
        <w:bottom w:val="none" w:sz="0" w:space="0" w:color="auto"/>
        <w:right w:val="none" w:sz="0" w:space="0" w:color="auto"/>
      </w:divBdr>
    </w:div>
    <w:div w:id="1357119797">
      <w:bodyDiv w:val="1"/>
      <w:marLeft w:val="0"/>
      <w:marRight w:val="0"/>
      <w:marTop w:val="0"/>
      <w:marBottom w:val="0"/>
      <w:divBdr>
        <w:top w:val="none" w:sz="0" w:space="0" w:color="auto"/>
        <w:left w:val="none" w:sz="0" w:space="0" w:color="auto"/>
        <w:bottom w:val="none" w:sz="0" w:space="0" w:color="auto"/>
        <w:right w:val="none" w:sz="0" w:space="0" w:color="auto"/>
      </w:divBdr>
    </w:div>
    <w:div w:id="1387995981">
      <w:bodyDiv w:val="1"/>
      <w:marLeft w:val="0"/>
      <w:marRight w:val="0"/>
      <w:marTop w:val="0"/>
      <w:marBottom w:val="0"/>
      <w:divBdr>
        <w:top w:val="none" w:sz="0" w:space="0" w:color="auto"/>
        <w:left w:val="none" w:sz="0" w:space="0" w:color="auto"/>
        <w:bottom w:val="none" w:sz="0" w:space="0" w:color="auto"/>
        <w:right w:val="none" w:sz="0" w:space="0" w:color="auto"/>
      </w:divBdr>
    </w:div>
    <w:div w:id="1411122744">
      <w:bodyDiv w:val="1"/>
      <w:marLeft w:val="0"/>
      <w:marRight w:val="0"/>
      <w:marTop w:val="0"/>
      <w:marBottom w:val="0"/>
      <w:divBdr>
        <w:top w:val="none" w:sz="0" w:space="0" w:color="auto"/>
        <w:left w:val="none" w:sz="0" w:space="0" w:color="auto"/>
        <w:bottom w:val="none" w:sz="0" w:space="0" w:color="auto"/>
        <w:right w:val="none" w:sz="0" w:space="0" w:color="auto"/>
      </w:divBdr>
    </w:div>
    <w:div w:id="1685478577">
      <w:bodyDiv w:val="1"/>
      <w:marLeft w:val="0"/>
      <w:marRight w:val="0"/>
      <w:marTop w:val="0"/>
      <w:marBottom w:val="0"/>
      <w:divBdr>
        <w:top w:val="none" w:sz="0" w:space="0" w:color="auto"/>
        <w:left w:val="none" w:sz="0" w:space="0" w:color="auto"/>
        <w:bottom w:val="none" w:sz="0" w:space="0" w:color="auto"/>
        <w:right w:val="none" w:sz="0" w:space="0" w:color="auto"/>
      </w:divBdr>
    </w:div>
    <w:div w:id="173430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31AA3-43E0-4800-B638-8D2F0282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381</Words>
  <Characters>2177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Раздел 0100 «Общегосударственные вопросы»</vt:lpstr>
    </vt:vector>
  </TitlesOfParts>
  <Company>АПР</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0100 «Общегосударственные вопросы»</dc:title>
  <dc:creator>grishina</dc:creator>
  <cp:lastModifiedBy>User</cp:lastModifiedBy>
  <cp:revision>13</cp:revision>
  <cp:lastPrinted>2014-11-15T15:15:00Z</cp:lastPrinted>
  <dcterms:created xsi:type="dcterms:W3CDTF">2015-11-23T14:37:00Z</dcterms:created>
  <dcterms:modified xsi:type="dcterms:W3CDTF">2017-01-23T08:38:00Z</dcterms:modified>
</cp:coreProperties>
</file>